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774" w:rsidRDefault="00A01774" w:rsidP="00A01774">
      <w:pPr>
        <w:spacing w:after="0" w:line="480" w:lineRule="auto"/>
        <w:jc w:val="center"/>
        <w:rPr>
          <w:rFonts w:ascii="Arial" w:hAnsi="Arial" w:cs="Arial"/>
        </w:rPr>
      </w:pPr>
      <w:bookmarkStart w:id="0" w:name="_GoBack"/>
      <w:bookmarkEnd w:id="0"/>
      <w:r>
        <w:rPr>
          <w:rFonts w:ascii="Arial" w:hAnsi="Arial" w:cs="Arial"/>
        </w:rPr>
        <w:t>One American Bank</w:t>
      </w:r>
    </w:p>
    <w:p w:rsidR="001450AE" w:rsidRPr="00A01774" w:rsidRDefault="00BD2BD6" w:rsidP="00A01774">
      <w:pPr>
        <w:spacing w:after="0" w:line="480" w:lineRule="auto"/>
        <w:rPr>
          <w:rFonts w:ascii="Arial" w:hAnsi="Arial" w:cs="Arial"/>
          <w:b/>
        </w:rPr>
      </w:pPr>
      <w:r w:rsidRPr="00A01774">
        <w:rPr>
          <w:rFonts w:ascii="Arial" w:hAnsi="Arial" w:cs="Arial"/>
          <w:b/>
        </w:rPr>
        <w:t>Question 2</w:t>
      </w:r>
    </w:p>
    <w:tbl>
      <w:tblPr>
        <w:tblStyle w:val="TableGridLight"/>
        <w:tblW w:w="0" w:type="auto"/>
        <w:tblLook w:val="04A0" w:firstRow="1" w:lastRow="0" w:firstColumn="1" w:lastColumn="0" w:noHBand="0" w:noVBand="1"/>
      </w:tblPr>
      <w:tblGrid>
        <w:gridCol w:w="3865"/>
        <w:gridCol w:w="1800"/>
        <w:gridCol w:w="1800"/>
        <w:gridCol w:w="1671"/>
      </w:tblGrid>
      <w:tr w:rsidR="00BD2BD6" w:rsidRPr="00A01774" w:rsidTr="00BD2BD6">
        <w:trPr>
          <w:trHeight w:val="260"/>
        </w:trPr>
        <w:tc>
          <w:tcPr>
            <w:tcW w:w="3865" w:type="dxa"/>
          </w:tcPr>
          <w:p w:rsidR="00BD2BD6" w:rsidRPr="00A01774" w:rsidRDefault="00BD2BD6" w:rsidP="00A01774">
            <w:pPr>
              <w:spacing w:line="480" w:lineRule="auto"/>
              <w:rPr>
                <w:rFonts w:ascii="Arial" w:hAnsi="Arial" w:cs="Arial"/>
                <w:b/>
              </w:rPr>
            </w:pPr>
            <w:r w:rsidRPr="00A01774">
              <w:rPr>
                <w:rFonts w:ascii="Arial" w:hAnsi="Arial" w:cs="Arial"/>
                <w:b/>
              </w:rPr>
              <w:t>Capital Ratio</w:t>
            </w:r>
          </w:p>
        </w:tc>
        <w:tc>
          <w:tcPr>
            <w:tcW w:w="1800" w:type="dxa"/>
          </w:tcPr>
          <w:p w:rsidR="00BD2BD6" w:rsidRPr="00A01774" w:rsidRDefault="00BD2BD6" w:rsidP="00A01774">
            <w:pPr>
              <w:spacing w:line="480" w:lineRule="auto"/>
              <w:rPr>
                <w:rFonts w:ascii="Arial" w:hAnsi="Arial" w:cs="Arial"/>
                <w:b/>
              </w:rPr>
            </w:pPr>
            <w:r w:rsidRPr="00A01774">
              <w:rPr>
                <w:rFonts w:ascii="Arial" w:hAnsi="Arial" w:cs="Arial"/>
                <w:b/>
              </w:rPr>
              <w:t>9/30/2018</w:t>
            </w:r>
          </w:p>
        </w:tc>
        <w:tc>
          <w:tcPr>
            <w:tcW w:w="1800" w:type="dxa"/>
          </w:tcPr>
          <w:p w:rsidR="00BD2BD6" w:rsidRPr="00A01774" w:rsidRDefault="00BD2BD6" w:rsidP="00A01774">
            <w:pPr>
              <w:spacing w:line="480" w:lineRule="auto"/>
              <w:rPr>
                <w:rFonts w:ascii="Arial" w:hAnsi="Arial" w:cs="Arial"/>
                <w:b/>
              </w:rPr>
            </w:pPr>
            <w:r w:rsidRPr="00A01774">
              <w:rPr>
                <w:rFonts w:ascii="Arial" w:hAnsi="Arial" w:cs="Arial"/>
                <w:b/>
              </w:rPr>
              <w:t>9/30/2017</w:t>
            </w:r>
          </w:p>
        </w:tc>
        <w:tc>
          <w:tcPr>
            <w:tcW w:w="1671" w:type="dxa"/>
          </w:tcPr>
          <w:p w:rsidR="00BD2BD6" w:rsidRPr="00A01774" w:rsidRDefault="00BD2BD6" w:rsidP="00A01774">
            <w:pPr>
              <w:spacing w:line="480" w:lineRule="auto"/>
              <w:rPr>
                <w:rFonts w:ascii="Arial" w:hAnsi="Arial" w:cs="Arial"/>
                <w:b/>
              </w:rPr>
            </w:pPr>
            <w:r w:rsidRPr="00A01774">
              <w:rPr>
                <w:rFonts w:ascii="Arial" w:hAnsi="Arial" w:cs="Arial"/>
                <w:b/>
              </w:rPr>
              <w:t>Trend</w:t>
            </w:r>
          </w:p>
        </w:tc>
      </w:tr>
      <w:tr w:rsidR="00BD2BD6" w:rsidRPr="00A01774" w:rsidTr="00BD2BD6">
        <w:trPr>
          <w:trHeight w:val="247"/>
        </w:trPr>
        <w:tc>
          <w:tcPr>
            <w:tcW w:w="3865" w:type="dxa"/>
          </w:tcPr>
          <w:p w:rsidR="00BD2BD6" w:rsidRPr="00A01774" w:rsidRDefault="00BD2BD6" w:rsidP="00A01774">
            <w:pPr>
              <w:spacing w:line="480" w:lineRule="auto"/>
              <w:rPr>
                <w:rFonts w:ascii="Arial" w:hAnsi="Arial" w:cs="Arial"/>
              </w:rPr>
            </w:pPr>
            <w:r w:rsidRPr="00A01774">
              <w:rPr>
                <w:rFonts w:ascii="Arial" w:hAnsi="Arial" w:cs="Arial"/>
              </w:rPr>
              <w:t>Net Loans &amp; Leases to Bank Equity</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4.31</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4.22</w:t>
            </w:r>
          </w:p>
        </w:tc>
        <w:tc>
          <w:tcPr>
            <w:tcW w:w="1671" w:type="dxa"/>
          </w:tcPr>
          <w:p w:rsidR="00BD2BD6" w:rsidRPr="00A01774" w:rsidRDefault="00BD2BD6" w:rsidP="00A01774">
            <w:pPr>
              <w:spacing w:line="480" w:lineRule="auto"/>
              <w:rPr>
                <w:rFonts w:ascii="Arial" w:hAnsi="Arial" w:cs="Arial"/>
              </w:rPr>
            </w:pPr>
            <w:r w:rsidRPr="00A01774">
              <w:rPr>
                <w:rFonts w:ascii="Arial" w:hAnsi="Arial" w:cs="Arial"/>
              </w:rPr>
              <w:t>Rising</w:t>
            </w:r>
          </w:p>
        </w:tc>
      </w:tr>
      <w:tr w:rsidR="00BD2BD6" w:rsidRPr="00A01774" w:rsidTr="00BD2BD6">
        <w:trPr>
          <w:trHeight w:val="247"/>
        </w:trPr>
        <w:tc>
          <w:tcPr>
            <w:tcW w:w="3865" w:type="dxa"/>
          </w:tcPr>
          <w:p w:rsidR="00BD2BD6" w:rsidRPr="00A01774" w:rsidRDefault="00BD2BD6" w:rsidP="00A01774">
            <w:pPr>
              <w:spacing w:line="480" w:lineRule="auto"/>
              <w:rPr>
                <w:rFonts w:ascii="Arial" w:hAnsi="Arial" w:cs="Arial"/>
              </w:rPr>
            </w:pPr>
            <w:r w:rsidRPr="00A01774">
              <w:rPr>
                <w:rFonts w:ascii="Arial" w:hAnsi="Arial" w:cs="Arial"/>
              </w:rPr>
              <w:t>Net Income to Average Bank Equity</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2.22</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-2.50</w:t>
            </w:r>
          </w:p>
        </w:tc>
        <w:tc>
          <w:tcPr>
            <w:tcW w:w="1671" w:type="dxa"/>
          </w:tcPr>
          <w:p w:rsidR="00BD2BD6" w:rsidRPr="00A01774" w:rsidRDefault="00BD2BD6" w:rsidP="00A01774">
            <w:pPr>
              <w:spacing w:line="480" w:lineRule="auto"/>
              <w:rPr>
                <w:rFonts w:ascii="Arial" w:hAnsi="Arial" w:cs="Arial"/>
              </w:rPr>
            </w:pPr>
            <w:r w:rsidRPr="00A01774">
              <w:rPr>
                <w:rFonts w:ascii="Arial" w:hAnsi="Arial" w:cs="Arial"/>
              </w:rPr>
              <w:t>Rising</w:t>
            </w:r>
          </w:p>
        </w:tc>
      </w:tr>
      <w:tr w:rsidR="00BD2BD6" w:rsidRPr="00A01774" w:rsidTr="00BD2BD6">
        <w:trPr>
          <w:trHeight w:val="234"/>
        </w:trPr>
        <w:tc>
          <w:tcPr>
            <w:tcW w:w="3865" w:type="dxa"/>
          </w:tcPr>
          <w:p w:rsidR="00BD2BD6" w:rsidRPr="00A01774" w:rsidRDefault="00BD2BD6" w:rsidP="00A01774">
            <w:pPr>
              <w:spacing w:line="480" w:lineRule="auto"/>
              <w:rPr>
                <w:rFonts w:ascii="Arial" w:hAnsi="Arial" w:cs="Arial"/>
              </w:rPr>
            </w:pPr>
            <w:r w:rsidRPr="00A01774">
              <w:rPr>
                <w:rFonts w:ascii="Arial" w:hAnsi="Arial" w:cs="Arial"/>
              </w:rPr>
              <w:t>Total Capital Ratio</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19.8153</w:t>
            </w:r>
          </w:p>
        </w:tc>
        <w:tc>
          <w:tcPr>
            <w:tcW w:w="1800" w:type="dxa"/>
          </w:tcPr>
          <w:p w:rsidR="00BD2BD6" w:rsidRPr="00A01774" w:rsidRDefault="00BD2BD6" w:rsidP="00A01774">
            <w:pPr>
              <w:spacing w:line="480" w:lineRule="auto"/>
              <w:rPr>
                <w:rFonts w:ascii="Arial" w:hAnsi="Arial" w:cs="Arial"/>
              </w:rPr>
            </w:pPr>
            <w:r w:rsidRPr="00A01774">
              <w:rPr>
                <w:rFonts w:ascii="Arial" w:hAnsi="Arial" w:cs="Arial"/>
              </w:rPr>
              <w:t>19.6714</w:t>
            </w:r>
          </w:p>
        </w:tc>
        <w:tc>
          <w:tcPr>
            <w:tcW w:w="1671" w:type="dxa"/>
          </w:tcPr>
          <w:p w:rsidR="00BD2BD6" w:rsidRPr="00A01774" w:rsidRDefault="00BD2BD6" w:rsidP="00A01774">
            <w:pPr>
              <w:spacing w:line="480" w:lineRule="auto"/>
              <w:rPr>
                <w:rFonts w:ascii="Arial" w:hAnsi="Arial" w:cs="Arial"/>
              </w:rPr>
            </w:pPr>
            <w:r w:rsidRPr="00A01774">
              <w:rPr>
                <w:rFonts w:ascii="Arial" w:hAnsi="Arial" w:cs="Arial"/>
              </w:rPr>
              <w:t>Rising</w:t>
            </w:r>
          </w:p>
        </w:tc>
      </w:tr>
    </w:tbl>
    <w:p w:rsidR="00BD2BD6" w:rsidRPr="00A01774" w:rsidRDefault="002A5EDB" w:rsidP="00A01774">
      <w:pPr>
        <w:spacing w:after="0" w:line="480" w:lineRule="auto"/>
        <w:rPr>
          <w:rFonts w:ascii="Arial" w:hAnsi="Arial" w:cs="Arial"/>
        </w:rPr>
      </w:pPr>
      <w:r w:rsidRPr="00A01774">
        <w:rPr>
          <w:rFonts w:ascii="Arial" w:hAnsi="Arial" w:cs="Arial"/>
        </w:rPr>
        <w:t xml:space="preserve">Source: </w:t>
      </w:r>
      <w:sdt>
        <w:sdtPr>
          <w:rPr>
            <w:rFonts w:ascii="Arial" w:hAnsi="Arial" w:cs="Arial"/>
          </w:rPr>
          <w:id w:val="-1472440453"/>
          <w:citation/>
        </w:sdtPr>
        <w:sdtEndPr/>
        <w:sdtContent>
          <w:r w:rsidRPr="00A01774">
            <w:rPr>
              <w:rFonts w:ascii="Arial" w:hAnsi="Arial" w:cs="Arial"/>
            </w:rPr>
            <w:fldChar w:fldCharType="begin"/>
          </w:r>
          <w:r w:rsidR="001F6374" w:rsidRPr="00A01774">
            <w:rPr>
              <w:rFonts w:ascii="Arial" w:hAnsi="Arial" w:cs="Arial"/>
            </w:rPr>
            <w:instrText xml:space="preserve">CITATION One18 \l 1033 </w:instrText>
          </w:r>
          <w:r w:rsidRPr="00A01774">
            <w:rPr>
              <w:rFonts w:ascii="Arial" w:hAnsi="Arial" w:cs="Arial"/>
            </w:rPr>
            <w:fldChar w:fldCharType="separate"/>
          </w:r>
          <w:r w:rsidR="001F6374" w:rsidRPr="00A01774">
            <w:rPr>
              <w:rFonts w:ascii="Arial" w:hAnsi="Arial" w:cs="Arial"/>
              <w:noProof/>
            </w:rPr>
            <w:t>(One American Bank, 2018)</w:t>
          </w:r>
          <w:r w:rsidRPr="00A01774">
            <w:rPr>
              <w:rFonts w:ascii="Arial" w:hAnsi="Arial" w:cs="Arial"/>
            </w:rPr>
            <w:fldChar w:fldCharType="end"/>
          </w:r>
        </w:sdtContent>
      </w:sdt>
    </w:p>
    <w:p w:rsidR="00BD2BD6" w:rsidRPr="00A01774" w:rsidRDefault="00BD2BD6" w:rsidP="00A01774">
      <w:pPr>
        <w:spacing w:after="0" w:line="480" w:lineRule="auto"/>
        <w:rPr>
          <w:rFonts w:ascii="Arial" w:hAnsi="Arial" w:cs="Arial"/>
          <w:b/>
        </w:rPr>
      </w:pPr>
      <w:r w:rsidRPr="00A01774">
        <w:rPr>
          <w:rFonts w:ascii="Arial" w:hAnsi="Arial" w:cs="Arial"/>
          <w:b/>
        </w:rPr>
        <w:t>Question 3</w:t>
      </w:r>
    </w:p>
    <w:tbl>
      <w:tblPr>
        <w:tblStyle w:val="TableGridLight"/>
        <w:tblW w:w="0" w:type="auto"/>
        <w:tblLook w:val="04A0" w:firstRow="1" w:lastRow="0" w:firstColumn="1" w:lastColumn="0" w:noHBand="0" w:noVBand="1"/>
      </w:tblPr>
      <w:tblGrid>
        <w:gridCol w:w="6175"/>
        <w:gridCol w:w="2876"/>
      </w:tblGrid>
      <w:tr w:rsidR="00E544C8" w:rsidRPr="00A01774" w:rsidTr="00E544C8">
        <w:trPr>
          <w:trHeight w:val="252"/>
        </w:trPr>
        <w:tc>
          <w:tcPr>
            <w:tcW w:w="6175" w:type="dxa"/>
          </w:tcPr>
          <w:p w:rsidR="00E544C8" w:rsidRPr="00A01774" w:rsidRDefault="00025430" w:rsidP="00A01774">
            <w:pPr>
              <w:spacing w:line="480" w:lineRule="auto"/>
              <w:rPr>
                <w:rFonts w:ascii="Arial" w:hAnsi="Arial" w:cs="Arial"/>
                <w:b/>
              </w:rPr>
            </w:pPr>
            <w:r w:rsidRPr="00A01774">
              <w:rPr>
                <w:rFonts w:ascii="Arial" w:hAnsi="Arial" w:cs="Arial"/>
                <w:b/>
              </w:rPr>
              <w:t>Risk Based Capital ($000)</w:t>
            </w:r>
          </w:p>
        </w:tc>
        <w:tc>
          <w:tcPr>
            <w:tcW w:w="2876" w:type="dxa"/>
          </w:tcPr>
          <w:p w:rsidR="00E544C8" w:rsidRPr="00A01774" w:rsidRDefault="00E544C8" w:rsidP="00A01774">
            <w:pPr>
              <w:spacing w:line="480" w:lineRule="auto"/>
              <w:rPr>
                <w:rFonts w:ascii="Arial" w:hAnsi="Arial" w:cs="Arial"/>
                <w:b/>
              </w:rPr>
            </w:pPr>
            <w:r w:rsidRPr="00A01774">
              <w:rPr>
                <w:rFonts w:ascii="Arial" w:hAnsi="Arial" w:cs="Arial"/>
                <w:b/>
              </w:rPr>
              <w:t>9/30/2018</w:t>
            </w:r>
          </w:p>
        </w:tc>
      </w:tr>
      <w:tr w:rsidR="00E544C8" w:rsidRPr="00A01774" w:rsidTr="00E544C8">
        <w:trPr>
          <w:trHeight w:val="240"/>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On balance sheet RWA</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68,420</w:t>
            </w:r>
          </w:p>
        </w:tc>
      </w:tr>
      <w:tr w:rsidR="00E544C8" w:rsidRPr="00A01774" w:rsidTr="00E544C8">
        <w:trPr>
          <w:trHeight w:val="240"/>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Off balance sheet RWA</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3,250</w:t>
            </w:r>
          </w:p>
        </w:tc>
      </w:tr>
      <w:tr w:rsidR="00E544C8" w:rsidRPr="00A01774" w:rsidTr="00E544C8">
        <w:trPr>
          <w:trHeight w:val="227"/>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Total RWA</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68,851</w:t>
            </w:r>
          </w:p>
        </w:tc>
      </w:tr>
      <w:tr w:rsidR="00E544C8" w:rsidRPr="00A01774" w:rsidTr="00E544C8">
        <w:trPr>
          <w:trHeight w:val="227"/>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Tier I Capital</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12,747</w:t>
            </w:r>
          </w:p>
        </w:tc>
      </w:tr>
      <w:tr w:rsidR="00E544C8" w:rsidRPr="00A01774" w:rsidTr="00E544C8">
        <w:trPr>
          <w:trHeight w:val="227"/>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Tier II Capital</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896</w:t>
            </w:r>
          </w:p>
        </w:tc>
      </w:tr>
      <w:tr w:rsidR="00E544C8" w:rsidRPr="00A01774" w:rsidTr="00E544C8">
        <w:trPr>
          <w:trHeight w:val="227"/>
        </w:trPr>
        <w:tc>
          <w:tcPr>
            <w:tcW w:w="6175" w:type="dxa"/>
          </w:tcPr>
          <w:p w:rsidR="00E544C8" w:rsidRPr="00A01774" w:rsidRDefault="00E544C8" w:rsidP="00A01774">
            <w:pPr>
              <w:spacing w:line="480" w:lineRule="auto"/>
              <w:rPr>
                <w:rFonts w:ascii="Arial" w:hAnsi="Arial" w:cs="Arial"/>
              </w:rPr>
            </w:pPr>
            <w:r w:rsidRPr="00A01774">
              <w:rPr>
                <w:rFonts w:ascii="Arial" w:hAnsi="Arial" w:cs="Arial"/>
              </w:rPr>
              <w:t>Total Capital</w:t>
            </w:r>
          </w:p>
        </w:tc>
        <w:tc>
          <w:tcPr>
            <w:tcW w:w="2876" w:type="dxa"/>
          </w:tcPr>
          <w:p w:rsidR="00E544C8" w:rsidRPr="00A01774" w:rsidRDefault="00A52E85" w:rsidP="00A01774">
            <w:pPr>
              <w:spacing w:line="480" w:lineRule="auto"/>
              <w:rPr>
                <w:rFonts w:ascii="Arial" w:hAnsi="Arial" w:cs="Arial"/>
              </w:rPr>
            </w:pPr>
            <w:r w:rsidRPr="00A01774">
              <w:rPr>
                <w:rFonts w:ascii="Arial" w:hAnsi="Arial" w:cs="Arial"/>
              </w:rPr>
              <w:t>13,643</w:t>
            </w:r>
          </w:p>
        </w:tc>
      </w:tr>
    </w:tbl>
    <w:p w:rsidR="00BD2BD6" w:rsidRPr="00A01774" w:rsidRDefault="002A5EDB" w:rsidP="00A01774">
      <w:pPr>
        <w:spacing w:after="0" w:line="480" w:lineRule="auto"/>
        <w:rPr>
          <w:rFonts w:ascii="Arial" w:hAnsi="Arial" w:cs="Arial"/>
        </w:rPr>
      </w:pPr>
      <w:r w:rsidRPr="00A01774">
        <w:rPr>
          <w:rFonts w:ascii="Arial" w:hAnsi="Arial" w:cs="Arial"/>
        </w:rPr>
        <w:t xml:space="preserve">Source: </w:t>
      </w:r>
      <w:sdt>
        <w:sdtPr>
          <w:rPr>
            <w:rFonts w:ascii="Arial" w:hAnsi="Arial" w:cs="Arial"/>
          </w:rPr>
          <w:id w:val="813291784"/>
          <w:citation/>
        </w:sdtPr>
        <w:sdtEndPr/>
        <w:sdtContent>
          <w:r w:rsidRPr="00A01774">
            <w:rPr>
              <w:rFonts w:ascii="Arial" w:hAnsi="Arial" w:cs="Arial"/>
            </w:rPr>
            <w:fldChar w:fldCharType="begin"/>
          </w:r>
          <w:r w:rsidR="001F6374" w:rsidRPr="00A01774">
            <w:rPr>
              <w:rFonts w:ascii="Arial" w:hAnsi="Arial" w:cs="Arial"/>
            </w:rPr>
            <w:instrText xml:space="preserve">CITATION One18 \l 1033 </w:instrText>
          </w:r>
          <w:r w:rsidRPr="00A01774">
            <w:rPr>
              <w:rFonts w:ascii="Arial" w:hAnsi="Arial" w:cs="Arial"/>
            </w:rPr>
            <w:fldChar w:fldCharType="separate"/>
          </w:r>
          <w:r w:rsidR="001F6374" w:rsidRPr="00A01774">
            <w:rPr>
              <w:rFonts w:ascii="Arial" w:hAnsi="Arial" w:cs="Arial"/>
              <w:noProof/>
            </w:rPr>
            <w:t>(One American Bank, 2018)</w:t>
          </w:r>
          <w:r w:rsidRPr="00A01774">
            <w:rPr>
              <w:rFonts w:ascii="Arial" w:hAnsi="Arial" w:cs="Arial"/>
            </w:rPr>
            <w:fldChar w:fldCharType="end"/>
          </w:r>
        </w:sdtContent>
      </w:sdt>
    </w:p>
    <w:p w:rsidR="00A52E85" w:rsidRPr="00A01774" w:rsidRDefault="00A52E85" w:rsidP="00A01774">
      <w:pPr>
        <w:spacing w:after="0" w:line="480" w:lineRule="auto"/>
        <w:rPr>
          <w:rFonts w:ascii="Arial" w:hAnsi="Arial" w:cs="Arial"/>
          <w:b/>
        </w:rPr>
      </w:pPr>
      <w:r w:rsidRPr="00A01774">
        <w:rPr>
          <w:rFonts w:ascii="Arial" w:hAnsi="Arial" w:cs="Arial"/>
          <w:b/>
        </w:rPr>
        <w:t>Question 4</w:t>
      </w:r>
    </w:p>
    <w:tbl>
      <w:tblPr>
        <w:tblStyle w:val="TableGridLight"/>
        <w:tblW w:w="0" w:type="auto"/>
        <w:tblLook w:val="04A0" w:firstRow="1" w:lastRow="0" w:firstColumn="1" w:lastColumn="0" w:noHBand="0" w:noVBand="1"/>
      </w:tblPr>
      <w:tblGrid>
        <w:gridCol w:w="3814"/>
        <w:gridCol w:w="1929"/>
        <w:gridCol w:w="1929"/>
        <w:gridCol w:w="1678"/>
      </w:tblGrid>
      <w:tr w:rsidR="007105D9" w:rsidRPr="00A01774" w:rsidTr="007105D9">
        <w:trPr>
          <w:trHeight w:val="252"/>
        </w:trPr>
        <w:tc>
          <w:tcPr>
            <w:tcW w:w="3814" w:type="dxa"/>
          </w:tcPr>
          <w:p w:rsidR="007105D9" w:rsidRPr="00A01774" w:rsidRDefault="007105D9" w:rsidP="00A01774">
            <w:pPr>
              <w:spacing w:line="480" w:lineRule="auto"/>
              <w:rPr>
                <w:rFonts w:ascii="Arial" w:hAnsi="Arial" w:cs="Arial"/>
                <w:b/>
              </w:rPr>
            </w:pPr>
            <w:r w:rsidRPr="00A01774">
              <w:rPr>
                <w:rFonts w:ascii="Arial" w:hAnsi="Arial" w:cs="Arial"/>
                <w:b/>
              </w:rPr>
              <w:t>Loan Mix, % Average Gross LN&amp;LS</w:t>
            </w:r>
          </w:p>
        </w:tc>
        <w:tc>
          <w:tcPr>
            <w:tcW w:w="1929" w:type="dxa"/>
          </w:tcPr>
          <w:p w:rsidR="007105D9" w:rsidRPr="00A01774" w:rsidRDefault="007105D9" w:rsidP="00A01774">
            <w:pPr>
              <w:spacing w:line="480" w:lineRule="auto"/>
              <w:rPr>
                <w:rFonts w:ascii="Arial" w:hAnsi="Arial" w:cs="Arial"/>
                <w:b/>
              </w:rPr>
            </w:pPr>
            <w:r w:rsidRPr="00A01774">
              <w:rPr>
                <w:rFonts w:ascii="Arial" w:hAnsi="Arial" w:cs="Arial"/>
                <w:b/>
              </w:rPr>
              <w:t>9/30/2018</w:t>
            </w:r>
          </w:p>
        </w:tc>
        <w:tc>
          <w:tcPr>
            <w:tcW w:w="1929" w:type="dxa"/>
          </w:tcPr>
          <w:p w:rsidR="007105D9" w:rsidRPr="00A01774" w:rsidRDefault="007105D9" w:rsidP="00A01774">
            <w:pPr>
              <w:spacing w:line="480" w:lineRule="auto"/>
              <w:rPr>
                <w:rFonts w:ascii="Arial" w:hAnsi="Arial" w:cs="Arial"/>
                <w:b/>
              </w:rPr>
            </w:pPr>
            <w:r w:rsidRPr="00A01774">
              <w:rPr>
                <w:rFonts w:ascii="Arial" w:hAnsi="Arial" w:cs="Arial"/>
                <w:b/>
              </w:rPr>
              <w:t>9/30/2017</w:t>
            </w:r>
          </w:p>
        </w:tc>
        <w:tc>
          <w:tcPr>
            <w:tcW w:w="1678" w:type="dxa"/>
          </w:tcPr>
          <w:p w:rsidR="007105D9" w:rsidRPr="00A01774" w:rsidRDefault="007105D9" w:rsidP="00A01774">
            <w:pPr>
              <w:spacing w:line="480" w:lineRule="auto"/>
              <w:rPr>
                <w:rFonts w:ascii="Arial" w:hAnsi="Arial" w:cs="Arial"/>
                <w:b/>
              </w:rPr>
            </w:pPr>
            <w:r w:rsidRPr="00A01774">
              <w:rPr>
                <w:rFonts w:ascii="Arial" w:hAnsi="Arial" w:cs="Arial"/>
                <w:b/>
              </w:rPr>
              <w:t>Changes</w:t>
            </w:r>
          </w:p>
        </w:tc>
      </w:tr>
      <w:tr w:rsidR="007105D9" w:rsidRPr="00A01774" w:rsidTr="007105D9">
        <w:trPr>
          <w:trHeight w:val="240"/>
        </w:trPr>
        <w:tc>
          <w:tcPr>
            <w:tcW w:w="3814" w:type="dxa"/>
          </w:tcPr>
          <w:p w:rsidR="007105D9" w:rsidRPr="00A01774" w:rsidRDefault="007105D9" w:rsidP="00A01774">
            <w:pPr>
              <w:spacing w:line="480" w:lineRule="auto"/>
              <w:rPr>
                <w:rFonts w:ascii="Arial" w:hAnsi="Arial" w:cs="Arial"/>
              </w:rPr>
            </w:pPr>
            <w:r w:rsidRPr="00A01774">
              <w:rPr>
                <w:rFonts w:ascii="Arial" w:hAnsi="Arial" w:cs="Arial"/>
              </w:rPr>
              <w:t>Real Estate Loans</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51.48</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49.17</w:t>
            </w:r>
          </w:p>
        </w:tc>
        <w:tc>
          <w:tcPr>
            <w:tcW w:w="1678" w:type="dxa"/>
          </w:tcPr>
          <w:p w:rsidR="007105D9" w:rsidRPr="00A01774" w:rsidRDefault="007105D9" w:rsidP="00A01774">
            <w:pPr>
              <w:spacing w:line="480" w:lineRule="auto"/>
              <w:rPr>
                <w:rFonts w:ascii="Arial" w:hAnsi="Arial" w:cs="Arial"/>
              </w:rPr>
            </w:pPr>
            <w:r w:rsidRPr="00A01774">
              <w:rPr>
                <w:rFonts w:ascii="Arial" w:hAnsi="Arial" w:cs="Arial"/>
              </w:rPr>
              <w:t>Increased</w:t>
            </w:r>
          </w:p>
        </w:tc>
      </w:tr>
      <w:tr w:rsidR="007105D9" w:rsidRPr="00A01774" w:rsidTr="007105D9">
        <w:trPr>
          <w:trHeight w:val="240"/>
        </w:trPr>
        <w:tc>
          <w:tcPr>
            <w:tcW w:w="3814" w:type="dxa"/>
          </w:tcPr>
          <w:p w:rsidR="007105D9" w:rsidRPr="00A01774" w:rsidRDefault="007105D9" w:rsidP="00A01774">
            <w:pPr>
              <w:spacing w:line="480" w:lineRule="auto"/>
              <w:rPr>
                <w:rFonts w:ascii="Arial" w:hAnsi="Arial" w:cs="Arial"/>
              </w:rPr>
            </w:pPr>
            <w:r w:rsidRPr="00A01774">
              <w:rPr>
                <w:rFonts w:ascii="Arial" w:hAnsi="Arial" w:cs="Arial"/>
              </w:rPr>
              <w:t>Agricultural Loans</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7.09</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6.74</w:t>
            </w:r>
          </w:p>
        </w:tc>
        <w:tc>
          <w:tcPr>
            <w:tcW w:w="1678" w:type="dxa"/>
          </w:tcPr>
          <w:p w:rsidR="007105D9" w:rsidRPr="00A01774" w:rsidRDefault="007105D9" w:rsidP="00A01774">
            <w:pPr>
              <w:spacing w:line="480" w:lineRule="auto"/>
              <w:rPr>
                <w:rFonts w:ascii="Arial" w:hAnsi="Arial" w:cs="Arial"/>
              </w:rPr>
            </w:pPr>
            <w:r w:rsidRPr="00A01774">
              <w:rPr>
                <w:rFonts w:ascii="Arial" w:hAnsi="Arial" w:cs="Arial"/>
              </w:rPr>
              <w:t>Increased</w:t>
            </w:r>
          </w:p>
        </w:tc>
      </w:tr>
      <w:tr w:rsidR="007105D9" w:rsidRPr="00A01774" w:rsidTr="007105D9">
        <w:trPr>
          <w:trHeight w:val="227"/>
        </w:trPr>
        <w:tc>
          <w:tcPr>
            <w:tcW w:w="3814" w:type="dxa"/>
          </w:tcPr>
          <w:p w:rsidR="007105D9" w:rsidRPr="00A01774" w:rsidRDefault="007105D9" w:rsidP="00A01774">
            <w:pPr>
              <w:spacing w:line="480" w:lineRule="auto"/>
              <w:rPr>
                <w:rFonts w:ascii="Arial" w:hAnsi="Arial" w:cs="Arial"/>
              </w:rPr>
            </w:pPr>
            <w:r w:rsidRPr="00A01774">
              <w:rPr>
                <w:rFonts w:ascii="Arial" w:hAnsi="Arial" w:cs="Arial"/>
              </w:rPr>
              <w:t>Commercial &amp; Industrial Loans</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14.62</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14.17</w:t>
            </w:r>
          </w:p>
        </w:tc>
        <w:tc>
          <w:tcPr>
            <w:tcW w:w="1678" w:type="dxa"/>
          </w:tcPr>
          <w:p w:rsidR="007105D9" w:rsidRPr="00A01774" w:rsidRDefault="007105D9" w:rsidP="00A01774">
            <w:pPr>
              <w:spacing w:line="480" w:lineRule="auto"/>
              <w:rPr>
                <w:rFonts w:ascii="Arial" w:hAnsi="Arial" w:cs="Arial"/>
              </w:rPr>
            </w:pPr>
            <w:r w:rsidRPr="00A01774">
              <w:rPr>
                <w:rFonts w:ascii="Arial" w:hAnsi="Arial" w:cs="Arial"/>
              </w:rPr>
              <w:t>Increased</w:t>
            </w:r>
          </w:p>
        </w:tc>
      </w:tr>
      <w:tr w:rsidR="007105D9" w:rsidRPr="00A01774" w:rsidTr="007105D9">
        <w:trPr>
          <w:trHeight w:val="227"/>
        </w:trPr>
        <w:tc>
          <w:tcPr>
            <w:tcW w:w="3814" w:type="dxa"/>
          </w:tcPr>
          <w:p w:rsidR="007105D9" w:rsidRPr="00A01774" w:rsidRDefault="007105D9" w:rsidP="00A01774">
            <w:pPr>
              <w:spacing w:line="480" w:lineRule="auto"/>
              <w:rPr>
                <w:rFonts w:ascii="Arial" w:hAnsi="Arial" w:cs="Arial"/>
              </w:rPr>
            </w:pPr>
            <w:r w:rsidRPr="00A01774">
              <w:rPr>
                <w:rFonts w:ascii="Arial" w:hAnsi="Arial" w:cs="Arial"/>
              </w:rPr>
              <w:t>Loans to Individuals</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24.28</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26.85</w:t>
            </w:r>
          </w:p>
        </w:tc>
        <w:tc>
          <w:tcPr>
            <w:tcW w:w="1678" w:type="dxa"/>
          </w:tcPr>
          <w:p w:rsidR="007105D9" w:rsidRPr="00A01774" w:rsidRDefault="007105D9" w:rsidP="00A01774">
            <w:pPr>
              <w:spacing w:line="480" w:lineRule="auto"/>
              <w:rPr>
                <w:rFonts w:ascii="Arial" w:hAnsi="Arial" w:cs="Arial"/>
              </w:rPr>
            </w:pPr>
            <w:r w:rsidRPr="00A01774">
              <w:rPr>
                <w:rFonts w:ascii="Arial" w:hAnsi="Arial" w:cs="Arial"/>
              </w:rPr>
              <w:t>Declined</w:t>
            </w:r>
          </w:p>
        </w:tc>
      </w:tr>
      <w:tr w:rsidR="007105D9" w:rsidRPr="00A01774" w:rsidTr="007105D9">
        <w:trPr>
          <w:trHeight w:val="227"/>
        </w:trPr>
        <w:tc>
          <w:tcPr>
            <w:tcW w:w="3814" w:type="dxa"/>
          </w:tcPr>
          <w:p w:rsidR="007105D9" w:rsidRPr="00A01774" w:rsidRDefault="007105D9" w:rsidP="00A01774">
            <w:pPr>
              <w:spacing w:line="480" w:lineRule="auto"/>
              <w:rPr>
                <w:rFonts w:ascii="Arial" w:hAnsi="Arial" w:cs="Arial"/>
              </w:rPr>
            </w:pPr>
            <w:r w:rsidRPr="00A01774">
              <w:rPr>
                <w:rFonts w:ascii="Arial" w:hAnsi="Arial" w:cs="Arial"/>
              </w:rPr>
              <w:t>Municipal Loans</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2.53</w:t>
            </w:r>
          </w:p>
        </w:tc>
        <w:tc>
          <w:tcPr>
            <w:tcW w:w="1929" w:type="dxa"/>
          </w:tcPr>
          <w:p w:rsidR="007105D9" w:rsidRPr="00A01774" w:rsidRDefault="007105D9" w:rsidP="00A01774">
            <w:pPr>
              <w:spacing w:line="480" w:lineRule="auto"/>
              <w:rPr>
                <w:rFonts w:ascii="Arial" w:hAnsi="Arial" w:cs="Arial"/>
              </w:rPr>
            </w:pPr>
            <w:r w:rsidRPr="00A01774">
              <w:rPr>
                <w:rFonts w:ascii="Arial" w:hAnsi="Arial" w:cs="Arial"/>
              </w:rPr>
              <w:t>3.06</w:t>
            </w:r>
          </w:p>
        </w:tc>
        <w:tc>
          <w:tcPr>
            <w:tcW w:w="1678" w:type="dxa"/>
          </w:tcPr>
          <w:p w:rsidR="007105D9" w:rsidRPr="00A01774" w:rsidRDefault="007105D9" w:rsidP="00A01774">
            <w:pPr>
              <w:spacing w:line="480" w:lineRule="auto"/>
              <w:rPr>
                <w:rFonts w:ascii="Arial" w:hAnsi="Arial" w:cs="Arial"/>
              </w:rPr>
            </w:pPr>
            <w:r w:rsidRPr="00A01774">
              <w:rPr>
                <w:rFonts w:ascii="Arial" w:hAnsi="Arial" w:cs="Arial"/>
              </w:rPr>
              <w:t>Declined</w:t>
            </w:r>
          </w:p>
        </w:tc>
      </w:tr>
    </w:tbl>
    <w:p w:rsidR="00A52E85" w:rsidRPr="00A01774" w:rsidRDefault="002A5EDB" w:rsidP="00A01774">
      <w:pPr>
        <w:spacing w:after="0" w:line="480" w:lineRule="auto"/>
        <w:rPr>
          <w:rFonts w:ascii="Arial" w:hAnsi="Arial" w:cs="Arial"/>
        </w:rPr>
      </w:pPr>
      <w:r w:rsidRPr="00A01774">
        <w:rPr>
          <w:rFonts w:ascii="Arial" w:hAnsi="Arial" w:cs="Arial"/>
        </w:rPr>
        <w:t xml:space="preserve">Source: </w:t>
      </w:r>
      <w:sdt>
        <w:sdtPr>
          <w:rPr>
            <w:rFonts w:ascii="Arial" w:hAnsi="Arial" w:cs="Arial"/>
          </w:rPr>
          <w:id w:val="-227696039"/>
          <w:citation/>
        </w:sdtPr>
        <w:sdtEndPr/>
        <w:sdtContent>
          <w:r w:rsidRPr="00A01774">
            <w:rPr>
              <w:rFonts w:ascii="Arial" w:hAnsi="Arial" w:cs="Arial"/>
            </w:rPr>
            <w:fldChar w:fldCharType="begin"/>
          </w:r>
          <w:r w:rsidR="001F6374" w:rsidRPr="00A01774">
            <w:rPr>
              <w:rFonts w:ascii="Arial" w:hAnsi="Arial" w:cs="Arial"/>
            </w:rPr>
            <w:instrText xml:space="preserve">CITATION One18 \l 1033 </w:instrText>
          </w:r>
          <w:r w:rsidRPr="00A01774">
            <w:rPr>
              <w:rFonts w:ascii="Arial" w:hAnsi="Arial" w:cs="Arial"/>
            </w:rPr>
            <w:fldChar w:fldCharType="separate"/>
          </w:r>
          <w:r w:rsidR="001F6374" w:rsidRPr="00A01774">
            <w:rPr>
              <w:rFonts w:ascii="Arial" w:hAnsi="Arial" w:cs="Arial"/>
              <w:noProof/>
            </w:rPr>
            <w:t>(One American Bank, 2018)</w:t>
          </w:r>
          <w:r w:rsidRPr="00A01774">
            <w:rPr>
              <w:rFonts w:ascii="Arial" w:hAnsi="Arial" w:cs="Arial"/>
            </w:rPr>
            <w:fldChar w:fldCharType="end"/>
          </w:r>
        </w:sdtContent>
      </w:sdt>
    </w:p>
    <w:p w:rsidR="00796FCF" w:rsidRPr="00A01774" w:rsidRDefault="00F56ACD" w:rsidP="00A01774">
      <w:pPr>
        <w:spacing w:after="0" w:line="480" w:lineRule="auto"/>
        <w:rPr>
          <w:rFonts w:ascii="Arial" w:hAnsi="Arial" w:cs="Arial"/>
          <w:b/>
        </w:rPr>
      </w:pPr>
      <w:r w:rsidRPr="00A01774">
        <w:rPr>
          <w:rFonts w:ascii="Arial" w:hAnsi="Arial" w:cs="Arial"/>
          <w:b/>
        </w:rPr>
        <w:lastRenderedPageBreak/>
        <w:t>Question 5</w:t>
      </w:r>
    </w:p>
    <w:p w:rsidR="00796FCF" w:rsidRPr="00A01774" w:rsidRDefault="00796FCF" w:rsidP="00A01774">
      <w:pPr>
        <w:spacing w:after="0" w:line="480" w:lineRule="auto"/>
        <w:rPr>
          <w:rFonts w:ascii="Arial" w:hAnsi="Arial" w:cs="Arial"/>
        </w:rPr>
      </w:pPr>
      <w:r w:rsidRPr="00A01774">
        <w:rPr>
          <w:rFonts w:ascii="Arial" w:hAnsi="Arial" w:cs="Arial"/>
        </w:rPr>
        <w:tab/>
        <w:t>The bank main objectives as can be deduced from its landing page are to increase accessibility for its clientele by using among others, modern technology such as providing bank statements online (e-statements) and free mobile banking</w:t>
      </w:r>
      <w:sdt>
        <w:sdtPr>
          <w:rPr>
            <w:rFonts w:ascii="Arial" w:hAnsi="Arial" w:cs="Arial"/>
          </w:rPr>
          <w:id w:val="1560132501"/>
          <w:citation/>
        </w:sdtPr>
        <w:sdtEndPr/>
        <w:sdtContent>
          <w:r w:rsidR="004130E6" w:rsidRPr="00A01774">
            <w:rPr>
              <w:rFonts w:ascii="Arial" w:hAnsi="Arial" w:cs="Arial"/>
            </w:rPr>
            <w:fldChar w:fldCharType="begin"/>
          </w:r>
          <w:r w:rsidR="004130E6" w:rsidRPr="00A01774">
            <w:rPr>
              <w:rFonts w:ascii="Arial" w:hAnsi="Arial" w:cs="Arial"/>
            </w:rPr>
            <w:instrText xml:space="preserve"> CITATION One181 \l 1033 </w:instrText>
          </w:r>
          <w:r w:rsidR="004130E6" w:rsidRPr="00A01774">
            <w:rPr>
              <w:rFonts w:ascii="Arial" w:hAnsi="Arial" w:cs="Arial"/>
            </w:rPr>
            <w:fldChar w:fldCharType="separate"/>
          </w:r>
          <w:r w:rsidR="004130E6" w:rsidRPr="00A01774">
            <w:rPr>
              <w:rFonts w:ascii="Arial" w:hAnsi="Arial" w:cs="Arial"/>
              <w:noProof/>
            </w:rPr>
            <w:t xml:space="preserve"> (One American Bank, 2018)</w:t>
          </w:r>
          <w:r w:rsidR="004130E6" w:rsidRPr="00A01774">
            <w:rPr>
              <w:rFonts w:ascii="Arial" w:hAnsi="Arial" w:cs="Arial"/>
            </w:rPr>
            <w:fldChar w:fldCharType="end"/>
          </w:r>
        </w:sdtContent>
      </w:sdt>
      <w:r w:rsidRPr="00A01774">
        <w:rPr>
          <w:rFonts w:ascii="Arial" w:hAnsi="Arial" w:cs="Arial"/>
        </w:rPr>
        <w:t xml:space="preserve">. </w:t>
      </w:r>
    </w:p>
    <w:p w:rsidR="00796FCF" w:rsidRPr="00A01774" w:rsidRDefault="00796FCF" w:rsidP="00A01774">
      <w:pPr>
        <w:spacing w:after="0" w:line="480" w:lineRule="auto"/>
        <w:rPr>
          <w:rFonts w:ascii="Arial" w:hAnsi="Arial" w:cs="Arial"/>
          <w:b/>
        </w:rPr>
      </w:pPr>
      <w:r w:rsidRPr="00A01774">
        <w:rPr>
          <w:rFonts w:ascii="Arial" w:hAnsi="Arial" w:cs="Arial"/>
          <w:b/>
        </w:rPr>
        <w:t>Question 6</w:t>
      </w:r>
    </w:p>
    <w:p w:rsidR="00796FCF" w:rsidRPr="00A01774" w:rsidRDefault="00AF5B6E" w:rsidP="00A01774">
      <w:pPr>
        <w:spacing w:after="0" w:line="480" w:lineRule="auto"/>
        <w:rPr>
          <w:rFonts w:ascii="Arial" w:hAnsi="Arial" w:cs="Arial"/>
        </w:rPr>
      </w:pPr>
      <w:r w:rsidRPr="00A01774">
        <w:rPr>
          <w:rFonts w:ascii="Arial" w:hAnsi="Arial" w:cs="Arial"/>
        </w:rPr>
        <w:tab/>
        <w:t>One of the recent substantial News item about One American Bank was its involvement as the lead arranger on a sale transaction of a 25% stake of Hilton Grand Vacations by its owner, China owned HNA Group Company. The deal was particularly conspicuous because the bank had and HNA recently had a disagreement after One American Bank expressed reservations HNA ownership and financing structure</w:t>
      </w:r>
      <w:sdt>
        <w:sdtPr>
          <w:rPr>
            <w:rFonts w:ascii="Arial" w:hAnsi="Arial" w:cs="Arial"/>
          </w:rPr>
          <w:id w:val="-835923115"/>
          <w:citation/>
        </w:sdtPr>
        <w:sdtEndPr/>
        <w:sdtContent>
          <w:r w:rsidR="00AC4839" w:rsidRPr="00A01774">
            <w:rPr>
              <w:rFonts w:ascii="Arial" w:hAnsi="Arial" w:cs="Arial"/>
            </w:rPr>
            <w:fldChar w:fldCharType="begin"/>
          </w:r>
          <w:r w:rsidR="00AC4839" w:rsidRPr="00A01774">
            <w:rPr>
              <w:rFonts w:ascii="Arial" w:hAnsi="Arial" w:cs="Arial"/>
            </w:rPr>
            <w:instrText xml:space="preserve"> CITATION Ste18 \l 1033 </w:instrText>
          </w:r>
          <w:r w:rsidR="00AC4839" w:rsidRPr="00A01774">
            <w:rPr>
              <w:rFonts w:ascii="Arial" w:hAnsi="Arial" w:cs="Arial"/>
            </w:rPr>
            <w:fldChar w:fldCharType="separate"/>
          </w:r>
          <w:r w:rsidR="00AC4839" w:rsidRPr="00A01774">
            <w:rPr>
              <w:rFonts w:ascii="Arial" w:hAnsi="Arial" w:cs="Arial"/>
              <w:noProof/>
            </w:rPr>
            <w:t xml:space="preserve"> (Steinberg, 2018)</w:t>
          </w:r>
          <w:r w:rsidR="00AC4839" w:rsidRPr="00A01774">
            <w:rPr>
              <w:rFonts w:ascii="Arial" w:hAnsi="Arial" w:cs="Arial"/>
            </w:rPr>
            <w:fldChar w:fldCharType="end"/>
          </w:r>
        </w:sdtContent>
      </w:sdt>
      <w:r w:rsidRPr="00A01774">
        <w:rPr>
          <w:rFonts w:ascii="Arial" w:hAnsi="Arial" w:cs="Arial"/>
        </w:rPr>
        <w:t xml:space="preserve">. </w:t>
      </w:r>
    </w:p>
    <w:p w:rsidR="00AC4839" w:rsidRPr="00A01774" w:rsidRDefault="00AC4839" w:rsidP="00A01774">
      <w:pPr>
        <w:spacing w:after="0" w:line="480" w:lineRule="auto"/>
        <w:rPr>
          <w:rFonts w:ascii="Arial" w:hAnsi="Arial" w:cs="Arial"/>
        </w:rPr>
      </w:pPr>
    </w:p>
    <w:p w:rsidR="00AC4839" w:rsidRPr="00A01774" w:rsidRDefault="00AC4839" w:rsidP="00A01774">
      <w:pPr>
        <w:spacing w:after="0" w:line="480" w:lineRule="auto"/>
        <w:rPr>
          <w:rFonts w:ascii="Arial" w:hAnsi="Arial" w:cs="Arial"/>
        </w:rPr>
      </w:pPr>
      <w:r w:rsidRPr="00A01774">
        <w:rPr>
          <w:rFonts w:ascii="Arial" w:hAnsi="Arial" w:cs="Arial"/>
        </w:rPr>
        <w:br w:type="page"/>
      </w:r>
    </w:p>
    <w:p w:rsidR="00AC4839" w:rsidRPr="00A01774" w:rsidRDefault="00AC4839" w:rsidP="00A01774">
      <w:pPr>
        <w:spacing w:after="0" w:line="480" w:lineRule="auto"/>
        <w:jc w:val="center"/>
        <w:rPr>
          <w:rFonts w:ascii="Arial" w:hAnsi="Arial" w:cs="Arial"/>
        </w:rPr>
      </w:pPr>
      <w:r w:rsidRPr="00A01774">
        <w:rPr>
          <w:rFonts w:ascii="Arial" w:hAnsi="Arial" w:cs="Arial"/>
        </w:rPr>
        <w:lastRenderedPageBreak/>
        <w:t>References</w:t>
      </w:r>
    </w:p>
    <w:p w:rsidR="00AC4839" w:rsidRPr="00A01774" w:rsidRDefault="00AC4839" w:rsidP="00A01774">
      <w:pPr>
        <w:pStyle w:val="Bibliography"/>
        <w:spacing w:after="0" w:line="480" w:lineRule="auto"/>
        <w:ind w:left="720" w:hanging="720"/>
        <w:rPr>
          <w:rFonts w:ascii="Arial" w:hAnsi="Arial" w:cs="Arial"/>
          <w:noProof/>
        </w:rPr>
      </w:pPr>
      <w:r w:rsidRPr="00A01774">
        <w:rPr>
          <w:rFonts w:ascii="Arial" w:hAnsi="Arial" w:cs="Arial"/>
        </w:rPr>
        <w:fldChar w:fldCharType="begin"/>
      </w:r>
      <w:r w:rsidRPr="00A01774">
        <w:rPr>
          <w:rFonts w:ascii="Arial" w:hAnsi="Arial" w:cs="Arial"/>
        </w:rPr>
        <w:instrText xml:space="preserve"> BIBLIOGRAPHY  \l 1033 </w:instrText>
      </w:r>
      <w:r w:rsidRPr="00A01774">
        <w:rPr>
          <w:rFonts w:ascii="Arial" w:hAnsi="Arial" w:cs="Arial"/>
        </w:rPr>
        <w:fldChar w:fldCharType="separate"/>
      </w:r>
      <w:r w:rsidRPr="00A01774">
        <w:rPr>
          <w:rFonts w:ascii="Arial" w:hAnsi="Arial" w:cs="Arial"/>
          <w:i/>
          <w:iCs/>
          <w:noProof/>
        </w:rPr>
        <w:t>One American Bank.</w:t>
      </w:r>
      <w:r w:rsidRPr="00A01774">
        <w:rPr>
          <w:rFonts w:ascii="Arial" w:hAnsi="Arial" w:cs="Arial"/>
          <w:noProof/>
        </w:rPr>
        <w:t xml:space="preserve"> (2018). Retrieved from Uniform Bank Report: Federal Financial Institutions Examination Council: https://cdr.ffiec.gov/public/Reports/UbprReport.aspx?rptCycleIds=111%2c106%2c107%2c101%2c86&amp;rptid=283&amp;idrssd=95051&amp;peerGroupType=&amp;supplemental=</w:t>
      </w:r>
    </w:p>
    <w:p w:rsidR="00AC4839" w:rsidRPr="00A01774" w:rsidRDefault="00AC4839" w:rsidP="00A01774">
      <w:pPr>
        <w:pStyle w:val="Bibliography"/>
        <w:spacing w:after="0" w:line="480" w:lineRule="auto"/>
        <w:ind w:left="720" w:hanging="720"/>
        <w:rPr>
          <w:rFonts w:ascii="Arial" w:hAnsi="Arial" w:cs="Arial"/>
          <w:noProof/>
        </w:rPr>
      </w:pPr>
      <w:r w:rsidRPr="00A01774">
        <w:rPr>
          <w:rFonts w:ascii="Arial" w:hAnsi="Arial" w:cs="Arial"/>
          <w:i/>
          <w:iCs/>
          <w:noProof/>
        </w:rPr>
        <w:t>One American Bank.</w:t>
      </w:r>
      <w:r w:rsidRPr="00A01774">
        <w:rPr>
          <w:rFonts w:ascii="Arial" w:hAnsi="Arial" w:cs="Arial"/>
          <w:noProof/>
        </w:rPr>
        <w:t xml:space="preserve"> (2018). Retrieved from One American Bank: https://www.oneamericanbank.com/</w:t>
      </w:r>
    </w:p>
    <w:p w:rsidR="00AC4839" w:rsidRPr="00A01774" w:rsidRDefault="00AC4839" w:rsidP="00A01774">
      <w:pPr>
        <w:pStyle w:val="Bibliography"/>
        <w:spacing w:after="0" w:line="480" w:lineRule="auto"/>
        <w:ind w:left="720" w:hanging="720"/>
        <w:rPr>
          <w:rFonts w:ascii="Arial" w:hAnsi="Arial" w:cs="Arial"/>
          <w:noProof/>
        </w:rPr>
      </w:pPr>
      <w:r w:rsidRPr="00A01774">
        <w:rPr>
          <w:rFonts w:ascii="Arial" w:hAnsi="Arial" w:cs="Arial"/>
          <w:noProof/>
        </w:rPr>
        <w:t xml:space="preserve">Steinberg, J. (2018). </w:t>
      </w:r>
      <w:r w:rsidRPr="00A01774">
        <w:rPr>
          <w:rFonts w:ascii="Arial" w:hAnsi="Arial" w:cs="Arial"/>
          <w:i/>
          <w:iCs/>
          <w:noProof/>
        </w:rPr>
        <w:t>China’s HNA Group is Back in One American Bank’s Good Graces — For One Deal.</w:t>
      </w:r>
      <w:r w:rsidRPr="00A01774">
        <w:rPr>
          <w:rFonts w:ascii="Arial" w:hAnsi="Arial" w:cs="Arial"/>
          <w:noProof/>
        </w:rPr>
        <w:t xml:space="preserve"> Retrieved from The Wall Street Journal: https://blogs.wsj.com/moneybeat/2018/03/14/chinas-hna-group-is-back-in-one-american-banks-good-graces-for-one-deal/</w:t>
      </w:r>
    </w:p>
    <w:p w:rsidR="00AC4839" w:rsidRDefault="00AC4839" w:rsidP="00A01774">
      <w:pPr>
        <w:spacing w:after="0" w:line="480" w:lineRule="auto"/>
      </w:pPr>
      <w:r w:rsidRPr="00A01774">
        <w:rPr>
          <w:rFonts w:ascii="Arial" w:hAnsi="Arial" w:cs="Arial"/>
        </w:rPr>
        <w:fldChar w:fldCharType="end"/>
      </w:r>
    </w:p>
    <w:p w:rsidR="002A5EDB" w:rsidRDefault="002A5EDB"/>
    <w:p w:rsidR="00F56ACD" w:rsidRDefault="00F56ACD"/>
    <w:sectPr w:rsidR="00F56ACD" w:rsidSect="00F83C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F88" w:rsidRDefault="009A7F88" w:rsidP="00F83C97">
      <w:pPr>
        <w:spacing w:after="0" w:line="240" w:lineRule="auto"/>
      </w:pPr>
      <w:r>
        <w:separator/>
      </w:r>
    </w:p>
  </w:endnote>
  <w:endnote w:type="continuationSeparator" w:id="0">
    <w:p w:rsidR="009A7F88" w:rsidRDefault="009A7F88" w:rsidP="00F8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F88" w:rsidRDefault="009A7F88" w:rsidP="00F83C97">
      <w:pPr>
        <w:spacing w:after="0" w:line="240" w:lineRule="auto"/>
      </w:pPr>
      <w:r>
        <w:separator/>
      </w:r>
    </w:p>
  </w:footnote>
  <w:footnote w:type="continuationSeparator" w:id="0">
    <w:p w:rsidR="009A7F88" w:rsidRDefault="009A7F88" w:rsidP="00F83C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C97"/>
    <w:rsid w:val="00025430"/>
    <w:rsid w:val="001450AE"/>
    <w:rsid w:val="001F6374"/>
    <w:rsid w:val="002A5EDB"/>
    <w:rsid w:val="004130E6"/>
    <w:rsid w:val="006212E9"/>
    <w:rsid w:val="007105D9"/>
    <w:rsid w:val="00796FCF"/>
    <w:rsid w:val="00815738"/>
    <w:rsid w:val="009259A7"/>
    <w:rsid w:val="009A7F88"/>
    <w:rsid w:val="00A01774"/>
    <w:rsid w:val="00A52E85"/>
    <w:rsid w:val="00AC4839"/>
    <w:rsid w:val="00AF5B6E"/>
    <w:rsid w:val="00BC1D12"/>
    <w:rsid w:val="00BD2BD6"/>
    <w:rsid w:val="00E544C8"/>
    <w:rsid w:val="00F56ACD"/>
    <w:rsid w:val="00F8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8AE5B-75B0-4C1C-8E88-8ACFD66A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C97"/>
  </w:style>
  <w:style w:type="paragraph" w:styleId="Footer">
    <w:name w:val="footer"/>
    <w:basedOn w:val="Normal"/>
    <w:link w:val="FooterChar"/>
    <w:uiPriority w:val="99"/>
    <w:unhideWhenUsed/>
    <w:rsid w:val="00F8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C97"/>
  </w:style>
  <w:style w:type="table" w:styleId="TableGrid">
    <w:name w:val="Table Grid"/>
    <w:basedOn w:val="TableNormal"/>
    <w:uiPriority w:val="39"/>
    <w:rsid w:val="00BD2B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BD2BD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C4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07959">
      <w:bodyDiv w:val="1"/>
      <w:marLeft w:val="0"/>
      <w:marRight w:val="0"/>
      <w:marTop w:val="0"/>
      <w:marBottom w:val="0"/>
      <w:divBdr>
        <w:top w:val="none" w:sz="0" w:space="0" w:color="auto"/>
        <w:left w:val="none" w:sz="0" w:space="0" w:color="auto"/>
        <w:bottom w:val="none" w:sz="0" w:space="0" w:color="auto"/>
        <w:right w:val="none" w:sz="0" w:space="0" w:color="auto"/>
      </w:divBdr>
    </w:div>
    <w:div w:id="695352831">
      <w:bodyDiv w:val="1"/>
      <w:marLeft w:val="0"/>
      <w:marRight w:val="0"/>
      <w:marTop w:val="0"/>
      <w:marBottom w:val="0"/>
      <w:divBdr>
        <w:top w:val="none" w:sz="0" w:space="0" w:color="auto"/>
        <w:left w:val="none" w:sz="0" w:space="0" w:color="auto"/>
        <w:bottom w:val="none" w:sz="0" w:space="0" w:color="auto"/>
        <w:right w:val="none" w:sz="0" w:space="0" w:color="auto"/>
      </w:divBdr>
    </w:div>
    <w:div w:id="938024121">
      <w:bodyDiv w:val="1"/>
      <w:marLeft w:val="0"/>
      <w:marRight w:val="0"/>
      <w:marTop w:val="0"/>
      <w:marBottom w:val="0"/>
      <w:divBdr>
        <w:top w:val="none" w:sz="0" w:space="0" w:color="auto"/>
        <w:left w:val="none" w:sz="0" w:space="0" w:color="auto"/>
        <w:bottom w:val="none" w:sz="0" w:space="0" w:color="auto"/>
        <w:right w:val="none" w:sz="0" w:space="0" w:color="auto"/>
      </w:divBdr>
    </w:div>
    <w:div w:id="1108505870">
      <w:bodyDiv w:val="1"/>
      <w:marLeft w:val="0"/>
      <w:marRight w:val="0"/>
      <w:marTop w:val="0"/>
      <w:marBottom w:val="0"/>
      <w:divBdr>
        <w:top w:val="none" w:sz="0" w:space="0" w:color="auto"/>
        <w:left w:val="none" w:sz="0" w:space="0" w:color="auto"/>
        <w:bottom w:val="none" w:sz="0" w:space="0" w:color="auto"/>
        <w:right w:val="none" w:sz="0" w:space="0" w:color="auto"/>
      </w:divBdr>
    </w:div>
    <w:div w:id="1277176609">
      <w:bodyDiv w:val="1"/>
      <w:marLeft w:val="0"/>
      <w:marRight w:val="0"/>
      <w:marTop w:val="0"/>
      <w:marBottom w:val="0"/>
      <w:divBdr>
        <w:top w:val="none" w:sz="0" w:space="0" w:color="auto"/>
        <w:left w:val="none" w:sz="0" w:space="0" w:color="auto"/>
        <w:bottom w:val="none" w:sz="0" w:space="0" w:color="auto"/>
        <w:right w:val="none" w:sz="0" w:space="0" w:color="auto"/>
      </w:divBdr>
    </w:div>
    <w:div w:id="1337028100">
      <w:bodyDiv w:val="1"/>
      <w:marLeft w:val="0"/>
      <w:marRight w:val="0"/>
      <w:marTop w:val="0"/>
      <w:marBottom w:val="0"/>
      <w:divBdr>
        <w:top w:val="none" w:sz="0" w:space="0" w:color="auto"/>
        <w:left w:val="none" w:sz="0" w:space="0" w:color="auto"/>
        <w:bottom w:val="none" w:sz="0" w:space="0" w:color="auto"/>
        <w:right w:val="none" w:sz="0" w:space="0" w:color="auto"/>
      </w:divBdr>
    </w:div>
    <w:div w:id="1578902423">
      <w:bodyDiv w:val="1"/>
      <w:marLeft w:val="0"/>
      <w:marRight w:val="0"/>
      <w:marTop w:val="0"/>
      <w:marBottom w:val="0"/>
      <w:divBdr>
        <w:top w:val="none" w:sz="0" w:space="0" w:color="auto"/>
        <w:left w:val="none" w:sz="0" w:space="0" w:color="auto"/>
        <w:bottom w:val="none" w:sz="0" w:space="0" w:color="auto"/>
        <w:right w:val="none" w:sz="0" w:space="0" w:color="auto"/>
      </w:divBdr>
    </w:div>
    <w:div w:id="1590236457">
      <w:bodyDiv w:val="1"/>
      <w:marLeft w:val="0"/>
      <w:marRight w:val="0"/>
      <w:marTop w:val="0"/>
      <w:marBottom w:val="0"/>
      <w:divBdr>
        <w:top w:val="none" w:sz="0" w:space="0" w:color="auto"/>
        <w:left w:val="none" w:sz="0" w:space="0" w:color="auto"/>
        <w:bottom w:val="none" w:sz="0" w:space="0" w:color="auto"/>
        <w:right w:val="none" w:sz="0" w:space="0" w:color="auto"/>
      </w:divBdr>
    </w:div>
    <w:div w:id="20694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One18</b:Tag>
    <b:SourceType>DocumentFromInternetSite</b:SourceType>
    <b:Guid>{DE298CFD-10D2-4848-B8FB-43E443479297}</b:Guid>
    <b:Title>One American Bank</b:Title>
    <b:Year>2018</b:Year>
    <b:InternetSiteTitle>Uniform Bank Report: Federal Financial Institutions Examination Council</b:InternetSiteTitle>
    <b:URL>https://cdr.ffiec.gov/public/Reports/UbprReport.aspx?rptCycleIds=111%2c106%2c107%2c101%2c86&amp;rptid=283&amp;idrssd=95051&amp;peerGroupType=&amp;supplemental=</b:URL>
    <b:RefOrder>1</b:RefOrder>
  </b:Source>
  <b:Source>
    <b:Tag>One181</b:Tag>
    <b:SourceType>DocumentFromInternetSite</b:SourceType>
    <b:Guid>{0FC98BA4-ECC7-4A56-84AC-D45D8949C818}</b:Guid>
    <b:Title>One American Bank</b:Title>
    <b:InternetSiteTitle>One American Bank</b:InternetSiteTitle>
    <b:Year>2018</b:Year>
    <b:URL>https://www.oneamericanbank.com/</b:URL>
    <b:RefOrder>2</b:RefOrder>
  </b:Source>
  <b:Source>
    <b:Tag>Ste18</b:Tag>
    <b:SourceType>DocumentFromInternetSite</b:SourceType>
    <b:Guid>{ACC3284E-72B1-4CC9-B3C6-66AC0EEB2FFD}</b:Guid>
    <b:Title>China’s HNA Group is Back in One American Bank’s Good Graces — For One Deal</b:Title>
    <b:InternetSiteTitle>The Wall Street Journal</b:InternetSiteTitle>
    <b:Year>2018</b:Year>
    <b:URL>https://blogs.wsj.com/moneybeat/2018/03/14/chinas-hna-group-is-back-in-one-american-banks-good-graces-for-one-deal/</b:URL>
    <b:Author>
      <b:Author>
        <b:NameList>
          <b:Person>
            <b:Last>Steinberg</b:Last>
            <b:First>Julie</b:First>
          </b:Person>
        </b:NameList>
      </b:Author>
    </b:Author>
    <b:RefOrder>3</b:RefOrder>
  </b:Source>
</b:Sources>
</file>

<file path=customXml/itemProps1.xml><?xml version="1.0" encoding="utf-8"?>
<ds:datastoreItem xmlns:ds="http://schemas.openxmlformats.org/officeDocument/2006/customXml" ds:itemID="{7767DCCA-445E-4930-909B-0D60D013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Prof Scofied</cp:lastModifiedBy>
  <cp:revision>2</cp:revision>
  <dcterms:created xsi:type="dcterms:W3CDTF">2018-12-04T22:13:00Z</dcterms:created>
  <dcterms:modified xsi:type="dcterms:W3CDTF">2018-12-04T22:13:00Z</dcterms:modified>
</cp:coreProperties>
</file>